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6806"/>
        <w:gridCol w:w="1705"/>
        <w:gridCol w:w="5670"/>
      </w:tblGrid>
      <w:tr w:rsidR="001A7547" w:rsidTr="001A7547">
        <w:tc>
          <w:tcPr>
            <w:tcW w:w="7334" w:type="dxa"/>
            <w:gridSpan w:val="2"/>
            <w:vMerge w:val="restart"/>
            <w:tcBorders>
              <w:right w:val="single" w:sz="4" w:space="0" w:color="auto"/>
            </w:tcBorders>
          </w:tcPr>
          <w:p w:rsidR="001A7547" w:rsidRPr="00FB18FD" w:rsidRDefault="001A7547" w:rsidP="00764A7A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FB18FD">
              <w:rPr>
                <w:rFonts w:ascii="Calibri" w:eastAsia="Times New Roman" w:hAnsi="Calibri" w:cs="Times New Roman"/>
                <w:noProof/>
                <w:color w:val="000000"/>
                <w:lang w:val="id-ID" w:eastAsia="id-ID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NOMOR SOP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PEMBUATAN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Default="001A7547" w:rsidP="005F3D34">
            <w:pPr>
              <w:ind w:hanging="108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:</w:t>
            </w:r>
            <w:r w:rsidR="00164846">
              <w:rPr>
                <w:sz w:val="18"/>
                <w:szCs w:val="18"/>
                <w:lang w:val="id-ID"/>
              </w:rPr>
              <w:t xml:space="preserve">28 Februari 2016 </w:t>
            </w:r>
          </w:p>
          <w:p w:rsidR="00164846" w:rsidRPr="00164846" w:rsidRDefault="00164846" w:rsidP="005F3D34">
            <w:pPr>
              <w:ind w:hanging="108"/>
              <w:rPr>
                <w:sz w:val="18"/>
                <w:szCs w:val="18"/>
                <w:lang w:val="id-ID"/>
              </w:rPr>
            </w:pP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REVISI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77EF0" w:rsidRDefault="001A7547" w:rsidP="005F3D3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1A7547" w:rsidTr="001A7547">
        <w:tc>
          <w:tcPr>
            <w:tcW w:w="7334" w:type="dxa"/>
            <w:gridSpan w:val="2"/>
            <w:vMerge/>
            <w:tcBorders>
              <w:right w:val="single" w:sz="4" w:space="0" w:color="auto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TGL. EFEKTIF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547" w:rsidRPr="00164846" w:rsidRDefault="001A7547" w:rsidP="005F3D34">
            <w:pPr>
              <w:ind w:hanging="108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:</w:t>
            </w:r>
            <w:r w:rsidR="00164846">
              <w:rPr>
                <w:sz w:val="18"/>
                <w:szCs w:val="18"/>
                <w:lang w:val="id-ID"/>
              </w:rPr>
              <w:t>1 Maret 2016</w:t>
            </w:r>
          </w:p>
        </w:tc>
      </w:tr>
      <w:tr w:rsidR="001A7547" w:rsidTr="001A7547"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1A7547" w:rsidRPr="008B688C" w:rsidRDefault="001A7547" w:rsidP="00622D37">
            <w:pPr>
              <w:jc w:val="center"/>
              <w:rPr>
                <w:b/>
                <w:sz w:val="28"/>
                <w:szCs w:val="28"/>
              </w:rPr>
            </w:pPr>
            <w:r w:rsidRPr="008B688C">
              <w:rPr>
                <w:b/>
                <w:sz w:val="28"/>
                <w:szCs w:val="28"/>
              </w:rPr>
              <w:t>KEMENTERIAN RISET, TEKNOLOGI DAN PENDIDIKAN TINGGI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</w:rPr>
            </w:pPr>
            <w:r w:rsidRPr="008B688C">
              <w:rPr>
                <w:b/>
              </w:rPr>
              <w:t>DISAHKAN OLEH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7547" w:rsidRPr="00177EF0" w:rsidRDefault="001A7547" w:rsidP="005F3D3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                         </w:t>
            </w:r>
            <w:proofErr w:type="spellStart"/>
            <w:r w:rsidRPr="008B688C">
              <w:rPr>
                <w:sz w:val="20"/>
                <w:szCs w:val="20"/>
              </w:rPr>
              <w:t>Direktur</w:t>
            </w:r>
            <w:proofErr w:type="spellEnd"/>
            <w:r w:rsidR="003211E1">
              <w:rPr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sz w:val="20"/>
                <w:szCs w:val="20"/>
              </w:rPr>
              <w:t>Tata</w:t>
            </w:r>
            <w:r w:rsidR="003211E1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kelola</w:t>
            </w:r>
            <w:proofErr w:type="spellEnd"/>
            <w:r w:rsidR="003211E1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3211E1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Komunikasi</w:t>
            </w:r>
            <w:proofErr w:type="spellEnd"/>
            <w:r w:rsidR="003211E1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Publik</w:t>
            </w:r>
            <w:proofErr w:type="spellEnd"/>
          </w:p>
        </w:tc>
      </w:tr>
      <w:tr w:rsidR="001A7547" w:rsidTr="001A7547">
        <w:trPr>
          <w:trHeight w:val="454"/>
        </w:trPr>
        <w:tc>
          <w:tcPr>
            <w:tcW w:w="7334" w:type="dxa"/>
            <w:gridSpan w:val="2"/>
            <w:tcBorders>
              <w:right w:val="single" w:sz="4" w:space="0" w:color="auto"/>
            </w:tcBorders>
          </w:tcPr>
          <w:p w:rsidR="001A7547" w:rsidRPr="008B688C" w:rsidRDefault="001A7547" w:rsidP="00622D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B688C">
              <w:rPr>
                <w:b/>
                <w:sz w:val="28"/>
                <w:szCs w:val="28"/>
              </w:rPr>
              <w:t>UNIVERSITAS PADJADJARAN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A7547" w:rsidRPr="00177EF0" w:rsidRDefault="001A7547" w:rsidP="005F3D34">
            <w:pPr>
              <w:rPr>
                <w:sz w:val="18"/>
                <w:szCs w:val="18"/>
              </w:rPr>
            </w:pPr>
          </w:p>
        </w:tc>
      </w:tr>
      <w:tr w:rsidR="001A7547" w:rsidTr="001A7547">
        <w:trPr>
          <w:trHeight w:val="454"/>
        </w:trPr>
        <w:tc>
          <w:tcPr>
            <w:tcW w:w="528" w:type="dxa"/>
            <w:tcBorders>
              <w:bottom w:val="nil"/>
            </w:tcBorders>
          </w:tcPr>
          <w:p w:rsidR="001A7547" w:rsidRPr="00FB18FD" w:rsidRDefault="001A7547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6806" w:type="dxa"/>
            <w:tcBorders>
              <w:bottom w:val="nil"/>
              <w:right w:val="single" w:sz="4" w:space="0" w:color="auto"/>
            </w:tcBorders>
          </w:tcPr>
          <w:p w:rsidR="001A7547" w:rsidRPr="008B688C" w:rsidRDefault="001A7547" w:rsidP="005F3D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547" w:rsidRDefault="001A7547" w:rsidP="005F3D34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5F3D34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5F3D34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A7547" w:rsidRPr="00177EF0" w:rsidRDefault="001A7547" w:rsidP="005F3D34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1A7547" w:rsidRDefault="001A7547" w:rsidP="00DA274F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DA274F">
            <w:pPr>
              <w:jc w:val="center"/>
              <w:rPr>
                <w:sz w:val="18"/>
                <w:szCs w:val="18"/>
              </w:rPr>
            </w:pPr>
          </w:p>
          <w:p w:rsidR="001A7547" w:rsidRDefault="001A7547" w:rsidP="00DA274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A7547" w:rsidRPr="008B688C" w:rsidRDefault="001A7547" w:rsidP="00DA27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 xml:space="preserve">Dr. </w:t>
            </w:r>
            <w:proofErr w:type="spellStart"/>
            <w:r w:rsidRPr="008B688C">
              <w:rPr>
                <w:sz w:val="20"/>
                <w:szCs w:val="20"/>
              </w:rPr>
              <w:t>Soni</w:t>
            </w:r>
            <w:proofErr w:type="spellEnd"/>
            <w:r w:rsidRPr="008B688C">
              <w:rPr>
                <w:sz w:val="20"/>
                <w:szCs w:val="20"/>
              </w:rPr>
              <w:t xml:space="preserve"> A. </w:t>
            </w:r>
            <w:proofErr w:type="spellStart"/>
            <w:r w:rsidRPr="008B688C">
              <w:rPr>
                <w:sz w:val="20"/>
                <w:szCs w:val="20"/>
              </w:rPr>
              <w:t>Nulhaqim</w:t>
            </w:r>
            <w:proofErr w:type="spellEnd"/>
            <w:r w:rsidRPr="008B688C">
              <w:rPr>
                <w:sz w:val="20"/>
                <w:szCs w:val="20"/>
              </w:rPr>
              <w:t xml:space="preserve">, </w:t>
            </w:r>
            <w:proofErr w:type="spellStart"/>
            <w:r w:rsidRPr="008B688C">
              <w:rPr>
                <w:sz w:val="20"/>
                <w:szCs w:val="20"/>
              </w:rPr>
              <w:t>S.Sos.</w:t>
            </w:r>
            <w:proofErr w:type="gramStart"/>
            <w:r w:rsidRPr="008B688C">
              <w:rPr>
                <w:sz w:val="20"/>
                <w:szCs w:val="20"/>
              </w:rPr>
              <w:t>,M.Si</w:t>
            </w:r>
            <w:proofErr w:type="spellEnd"/>
            <w:proofErr w:type="gramEnd"/>
            <w:r w:rsidRPr="008B688C">
              <w:rPr>
                <w:sz w:val="20"/>
                <w:szCs w:val="20"/>
              </w:rPr>
              <w:t>.</w:t>
            </w:r>
          </w:p>
          <w:p w:rsidR="001A7547" w:rsidRPr="00177EF0" w:rsidRDefault="001A7547" w:rsidP="00DA274F">
            <w:pPr>
              <w:spacing w:after="120"/>
              <w:jc w:val="center"/>
              <w:rPr>
                <w:sz w:val="18"/>
                <w:szCs w:val="18"/>
              </w:rPr>
            </w:pPr>
            <w:r w:rsidRPr="008B688C">
              <w:rPr>
                <w:sz w:val="20"/>
                <w:szCs w:val="20"/>
              </w:rPr>
              <w:t>NIP. 196802041994031011</w:t>
            </w:r>
          </w:p>
        </w:tc>
      </w:tr>
      <w:tr w:rsidR="00FB18FD" w:rsidTr="001A7547"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B18FD" w:rsidRPr="00FB18FD" w:rsidRDefault="00FB18FD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D" w:rsidRPr="00FB18FD" w:rsidRDefault="00FB18FD" w:rsidP="00FB18FD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D" w:rsidRPr="00FB18FD" w:rsidRDefault="009D13DF" w:rsidP="005B78BD">
            <w:pPr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688C">
              <w:rPr>
                <w:b/>
              </w:rPr>
              <w:t>NAMA SOP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8FD" w:rsidRPr="00760FC0" w:rsidRDefault="00AD12BB" w:rsidP="0054748F">
            <w:pPr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>PE</w:t>
            </w:r>
            <w:r w:rsidR="00FB18FD" w:rsidRPr="009D13DF"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LAYANAN </w:t>
            </w:r>
            <w:r w:rsidR="00760FC0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>NOMOR</w:t>
            </w:r>
            <w:r w:rsidR="004247A6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 xml:space="preserve"> </w:t>
            </w:r>
            <w:r w:rsidR="0054748F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 xml:space="preserve">MUNDUR </w:t>
            </w:r>
            <w:r w:rsidR="00760FC0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>SURAT</w:t>
            </w:r>
            <w:r w:rsidR="0054748F"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 xml:space="preserve"> DINAS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lang w:val="id-ID"/>
              </w:rPr>
              <w:t xml:space="preserve"> ATAU SK</w:t>
            </w:r>
          </w:p>
        </w:tc>
      </w:tr>
    </w:tbl>
    <w:p w:rsidR="003409CA" w:rsidRDefault="003409CA" w:rsidP="003409CA">
      <w:pPr>
        <w:spacing w:after="0" w:line="240" w:lineRule="auto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8B688C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DASAR HUKUM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KUALIFIKASI PELAKSANAAN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567"/>
        <w:gridCol w:w="6804"/>
      </w:tblGrid>
      <w:tr w:rsidR="00760FC0" w:rsidRPr="009D13DF" w:rsidTr="001A7547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contextualSpacing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B688C">
              <w:rPr>
                <w:rFonts w:cs="Arial"/>
                <w:sz w:val="20"/>
                <w:szCs w:val="20"/>
              </w:rPr>
              <w:t>Undang-Undang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rFonts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="Arial"/>
                <w:sz w:val="20"/>
                <w:szCs w:val="20"/>
              </w:rPr>
              <w:t>Tahun</w:t>
            </w:r>
            <w:proofErr w:type="spellEnd"/>
            <w:r w:rsidRPr="008B688C">
              <w:rPr>
                <w:rFonts w:cs="Arial"/>
                <w:sz w:val="20"/>
                <w:szCs w:val="20"/>
              </w:rPr>
              <w:t xml:space="preserve"> 2008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tanggal</w:t>
            </w:r>
            <w:proofErr w:type="spellEnd"/>
            <w:r w:rsidRPr="008B688C">
              <w:rPr>
                <w:rFonts w:cs="Arial"/>
                <w:sz w:val="20"/>
                <w:szCs w:val="20"/>
              </w:rPr>
              <w:t xml:space="preserve"> 30 April 2008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tentang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Keterbukaan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Informasi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cs="Arial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FC0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1</w:t>
            </w:r>
          </w:p>
          <w:p w:rsidR="00760FC0" w:rsidRPr="00760FC0" w:rsidRDefault="00760FC0" w:rsidP="00852D97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Pendidikan</w:t>
            </w:r>
            <w:proofErr w:type="spellEnd"/>
            <w:r w:rsidRPr="008B688C">
              <w:rPr>
                <w:sz w:val="20"/>
                <w:szCs w:val="20"/>
              </w:rPr>
              <w:t xml:space="preserve"> SLTA, D-III, </w:t>
            </w:r>
            <w:proofErr w:type="spellStart"/>
            <w:r w:rsidRPr="008B688C">
              <w:rPr>
                <w:sz w:val="20"/>
                <w:szCs w:val="20"/>
              </w:rPr>
              <w:t>Sarjana</w:t>
            </w:r>
            <w:proofErr w:type="spellEnd"/>
            <w:r w:rsidRPr="008B688C">
              <w:rPr>
                <w:sz w:val="20"/>
                <w:szCs w:val="20"/>
              </w:rPr>
              <w:t>/S1</w:t>
            </w:r>
          </w:p>
        </w:tc>
      </w:tr>
      <w:tr w:rsidR="00760FC0" w:rsidRPr="009D13DF" w:rsidTr="00FA1FC5">
        <w:trPr>
          <w:trHeight w:val="412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4B3F27" w:rsidRDefault="00760FC0" w:rsidP="00D91464">
            <w:pPr>
              <w:spacing w:after="60"/>
              <w:contextualSpacing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proofErr w:type="spellStart"/>
            <w:r w:rsidRPr="008B688C">
              <w:rPr>
                <w:rFonts w:cs="Arial"/>
                <w:sz w:val="20"/>
                <w:szCs w:val="20"/>
              </w:rPr>
              <w:t>Undang-Undang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8B688C">
              <w:rPr>
                <w:rFonts w:eastAsia="Times New Roman"/>
                <w:sz w:val="20"/>
                <w:szCs w:val="20"/>
              </w:rPr>
              <w:t xml:space="preserve"> 12</w:t>
            </w:r>
            <w:r>
              <w:rPr>
                <w:rFonts w:eastAsia="Times New Roman"/>
                <w:sz w:val="20"/>
                <w:szCs w:val="20"/>
              </w:rPr>
              <w:t>Tahun 2012</w:t>
            </w:r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Pendidikan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inggi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760FC0" w:rsidRDefault="00760FC0" w:rsidP="00AC68B9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Mengetahui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memahami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tugas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fungsi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pelayanan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  <w:lang w:val="id-ID"/>
              </w:rPr>
              <w:t>nomoran surat</w:t>
            </w:r>
          </w:p>
        </w:tc>
      </w:tr>
      <w:tr w:rsidR="00760FC0" w:rsidRPr="009D13DF" w:rsidTr="00FA1FC5">
        <w:trPr>
          <w:trHeight w:val="417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B4D81">
              <w:rPr>
                <w:rFonts w:cs="Arial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Pemerintah</w:t>
            </w:r>
            <w:proofErr w:type="spellEnd"/>
            <w:r w:rsidR="003211E1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Penyelenggaraan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Pendidikan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Tinggi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dan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Pengelolaan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Perguruan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D91464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Kemampuan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berkomunikasi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dengan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baik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dengan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sz w:val="20"/>
                <w:szCs w:val="20"/>
              </w:rPr>
              <w:t>bahasa</w:t>
            </w:r>
            <w:proofErr w:type="spellEnd"/>
            <w:r w:rsidRPr="008B688C">
              <w:rPr>
                <w:sz w:val="20"/>
                <w:szCs w:val="20"/>
              </w:rPr>
              <w:t xml:space="preserve"> yang </w:t>
            </w:r>
            <w:proofErr w:type="spellStart"/>
            <w:r w:rsidRPr="008B688C">
              <w:rPr>
                <w:sz w:val="20"/>
                <w:szCs w:val="20"/>
              </w:rPr>
              <w:t>baik</w:t>
            </w:r>
            <w:proofErr w:type="spellEnd"/>
          </w:p>
        </w:tc>
      </w:tr>
      <w:tr w:rsidR="00760FC0" w:rsidRPr="009D13DF" w:rsidTr="001A75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Pemerintah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Penetapan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Universitas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Padjadjaran</w:t>
            </w:r>
            <w:proofErr w:type="spellEnd"/>
            <w:r w:rsidRPr="008B688C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sebagai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Perguruan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Tinggi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Negeri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Badan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D9146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8B688C" w:rsidRDefault="00760FC0" w:rsidP="00D91464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Memahami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 </w:t>
            </w:r>
            <w:proofErr w:type="spellStart"/>
            <w:r w:rsidRPr="008B688C">
              <w:rPr>
                <w:sz w:val="20"/>
                <w:szCs w:val="20"/>
              </w:rPr>
              <w:t>aturan</w:t>
            </w:r>
            <w:proofErr w:type="spellEnd"/>
            <w:r w:rsidR="0016484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id-ID"/>
              </w:rPr>
              <w:t>Tata Naskah Dinas</w:t>
            </w:r>
          </w:p>
        </w:tc>
      </w:tr>
      <w:tr w:rsidR="00760FC0" w:rsidRPr="009D13DF" w:rsidTr="001A754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8B688C" w:rsidRDefault="00760FC0" w:rsidP="00D91464">
            <w:pPr>
              <w:spacing w:after="6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Pemerintah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8B688C">
              <w:rPr>
                <w:rFonts w:eastAsia="Times New Roman"/>
                <w:sz w:val="20"/>
                <w:szCs w:val="20"/>
              </w:rPr>
              <w:t>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Statuta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Universitas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8B688C">
              <w:rPr>
                <w:rFonts w:eastAsia="Times New Roman"/>
                <w:sz w:val="20"/>
                <w:szCs w:val="20"/>
              </w:rPr>
              <w:t>Padjadjaran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760FC0" w:rsidRPr="009D13DF" w:rsidTr="00760FC0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3439DB" w:rsidRDefault="00760FC0" w:rsidP="001E5B1C">
            <w:pPr>
              <w:spacing w:after="60"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r>
              <w:rPr>
                <w:rFonts w:eastAsia="Times New Roman"/>
                <w:sz w:val="20"/>
                <w:szCs w:val="20"/>
                <w:lang w:val="id-ID"/>
              </w:rPr>
              <w:t>Peraturan Menteri  Riset, Teknologi dan Pendidikan Tinggi Nomor 20 Tahun 2015 tentang Tata Naskah Dinas di Lingkungan kementerian Riset, Teknologi dan Pendidikan Tinggi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760FC0" w:rsidRPr="009D13DF" w:rsidTr="003211E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60FC0" w:rsidRPr="009D13DF" w:rsidRDefault="00760FC0" w:rsidP="00381920">
            <w:pPr>
              <w:spacing w:after="60"/>
              <w:jc w:val="center"/>
              <w:rPr>
                <w:sz w:val="20"/>
                <w:szCs w:val="20"/>
              </w:rPr>
            </w:pPr>
            <w:r w:rsidRPr="009D13DF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FC0" w:rsidRPr="004B3F27" w:rsidRDefault="00760FC0" w:rsidP="003211E1">
            <w:pPr>
              <w:spacing w:after="60"/>
              <w:ind w:left="33"/>
              <w:jc w:val="both"/>
              <w:rPr>
                <w:rFonts w:eastAsia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No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mor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70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Organisasi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dan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Tata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Kerja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Pengelola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sebagaimana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diubah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dengan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No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mor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102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Perubahan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atas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 w:rsidR="003211E1"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r w:rsidRPr="004B3F27">
              <w:rPr>
                <w:rFonts w:eastAsia="Times New Roman"/>
                <w:sz w:val="20"/>
                <w:szCs w:val="20"/>
              </w:rPr>
              <w:t>No</w:t>
            </w:r>
            <w:r>
              <w:rPr>
                <w:rFonts w:eastAsia="Times New Roman"/>
                <w:sz w:val="20"/>
                <w:szCs w:val="20"/>
                <w:lang w:val="id-ID"/>
              </w:rPr>
              <w:t>mor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70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FC0" w:rsidRPr="009D13DF" w:rsidRDefault="00760FC0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760FC0" w:rsidRPr="009D13DF" w:rsidRDefault="00760FC0" w:rsidP="00852D97">
            <w:pPr>
              <w:spacing w:after="60"/>
              <w:rPr>
                <w:sz w:val="20"/>
                <w:szCs w:val="20"/>
              </w:rPr>
            </w:pPr>
          </w:p>
        </w:tc>
      </w:tr>
      <w:tr w:rsidR="003F6EFE" w:rsidRPr="009D13DF" w:rsidTr="00760FC0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F6EFE" w:rsidRPr="003F6EFE" w:rsidRDefault="003F6EFE" w:rsidP="00381920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EFE" w:rsidRDefault="003F6EFE" w:rsidP="002A1020">
            <w:pPr>
              <w:spacing w:after="60"/>
              <w:ind w:left="33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Rektor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Unpad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No</w:t>
            </w:r>
            <w:r>
              <w:rPr>
                <w:rFonts w:eastAsia="Times New Roman"/>
                <w:sz w:val="20"/>
                <w:szCs w:val="20"/>
                <w:lang w:val="id-ID"/>
              </w:rPr>
              <w:t>mor 2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Tahun</w:t>
            </w:r>
            <w:proofErr w:type="spellEnd"/>
            <w:r w:rsidRPr="004B3F27">
              <w:rPr>
                <w:rFonts w:eastAsia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  <w:lang w:val="id-ID"/>
              </w:rPr>
              <w:t xml:space="preserve">6 </w:t>
            </w:r>
            <w:r w:rsidRPr="004B3F2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B3F27">
              <w:rPr>
                <w:rFonts w:eastAsia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eastAsia="Times New Roman"/>
                <w:sz w:val="20"/>
                <w:szCs w:val="20"/>
                <w:lang w:val="id-ID"/>
              </w:rPr>
              <w:t xml:space="preserve"> Penggunaan Kode Surat/Naskah Dinas di lingkungan Unpad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EFE" w:rsidRPr="009D13DF" w:rsidRDefault="003F6EFE" w:rsidP="00852D97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</w:tcPr>
          <w:p w:rsidR="003F6EFE" w:rsidRPr="009D13DF" w:rsidRDefault="003F6EFE" w:rsidP="00852D97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A7547" w:rsidRDefault="001A754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F937A5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KETERKAITAN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B190C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PERA</w:t>
            </w:r>
            <w:r w:rsidR="006B190C">
              <w:rPr>
                <w:b/>
                <w:lang w:val="id-ID"/>
              </w:rPr>
              <w:t>LA</w:t>
            </w:r>
            <w:r w:rsidRPr="008B688C">
              <w:rPr>
                <w:b/>
              </w:rPr>
              <w:t>TAN/PERLENGKAPAN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804"/>
        <w:gridCol w:w="567"/>
        <w:gridCol w:w="6804"/>
      </w:tblGrid>
      <w:tr w:rsidR="009D13DF" w:rsidRPr="009D13DF" w:rsidTr="001A7547">
        <w:tc>
          <w:tcPr>
            <w:tcW w:w="534" w:type="dxa"/>
            <w:tcBorders>
              <w:top w:val="single" w:sz="4" w:space="0" w:color="auto"/>
            </w:tcBorders>
          </w:tcPr>
          <w:p w:rsidR="009D13DF" w:rsidRPr="009D13DF" w:rsidRDefault="002A543C" w:rsidP="002A54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9D13DF" w:rsidRPr="00760FC0" w:rsidRDefault="002A543C" w:rsidP="00760FC0">
            <w:pPr>
              <w:spacing w:after="60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Daftar</w:t>
            </w:r>
            <w:proofErr w:type="spellEnd"/>
            <w:r w:rsidR="003F6EFE">
              <w:rPr>
                <w:sz w:val="20"/>
                <w:szCs w:val="20"/>
                <w:lang w:val="id-ID"/>
              </w:rPr>
              <w:t xml:space="preserve"> </w:t>
            </w:r>
            <w:r w:rsidR="003211E1">
              <w:rPr>
                <w:sz w:val="20"/>
                <w:szCs w:val="20"/>
                <w:lang w:val="id-ID"/>
              </w:rPr>
              <w:t xml:space="preserve"> </w:t>
            </w:r>
            <w:r w:rsidR="00760FC0">
              <w:rPr>
                <w:sz w:val="20"/>
                <w:szCs w:val="20"/>
                <w:lang w:val="id-ID"/>
              </w:rPr>
              <w:t>kodifikasi perihal surat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D13DF" w:rsidRPr="008B688C" w:rsidRDefault="009D13DF" w:rsidP="006B190C">
            <w:pPr>
              <w:spacing w:after="60"/>
              <w:rPr>
                <w:sz w:val="20"/>
                <w:szCs w:val="20"/>
              </w:rPr>
            </w:pPr>
            <w:proofErr w:type="spellStart"/>
            <w:r w:rsidRPr="008B688C"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12E49">
              <w:rPr>
                <w:i/>
                <w:sz w:val="20"/>
                <w:szCs w:val="20"/>
              </w:rPr>
              <w:t>printer</w:t>
            </w:r>
          </w:p>
        </w:tc>
      </w:tr>
      <w:tr w:rsidR="009D13DF" w:rsidRPr="009D13DF" w:rsidTr="001A7547">
        <w:tc>
          <w:tcPr>
            <w:tcW w:w="534" w:type="dxa"/>
          </w:tcPr>
          <w:p w:rsidR="009D13DF" w:rsidRPr="009D13DF" w:rsidRDefault="002A543C" w:rsidP="002A54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D13DF" w:rsidRPr="00760FC0" w:rsidRDefault="00760FC0" w:rsidP="00852D97">
            <w:pPr>
              <w:spacing w:after="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Daftar </w:t>
            </w:r>
            <w:r w:rsidR="003F6EFE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kodifikasi unit kerja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D13DF" w:rsidRPr="008B688C" w:rsidRDefault="00760FC0" w:rsidP="00760FC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Printer</w:t>
            </w:r>
          </w:p>
        </w:tc>
      </w:tr>
      <w:tr w:rsidR="009D13DF" w:rsidRPr="009D13DF" w:rsidTr="001A7547">
        <w:tc>
          <w:tcPr>
            <w:tcW w:w="534" w:type="dxa"/>
          </w:tcPr>
          <w:p w:rsidR="009D13DF" w:rsidRPr="00760FC0" w:rsidRDefault="009D13DF" w:rsidP="002A543C">
            <w:pPr>
              <w:spacing w:after="60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D13DF" w:rsidRPr="009D13DF" w:rsidRDefault="009D13DF" w:rsidP="00852D97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13DF" w:rsidRPr="008B688C" w:rsidRDefault="009D13DF" w:rsidP="00622D37">
            <w:pPr>
              <w:spacing w:after="60"/>
              <w:jc w:val="center"/>
              <w:rPr>
                <w:sz w:val="20"/>
                <w:szCs w:val="20"/>
              </w:rPr>
            </w:pPr>
            <w:r w:rsidRPr="008B688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9D13DF" w:rsidRPr="00760FC0" w:rsidRDefault="00760FC0" w:rsidP="00622D37">
            <w:pPr>
              <w:spacing w:after="6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Ballpoint</w:t>
            </w: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38"/>
        <w:gridCol w:w="7371"/>
      </w:tblGrid>
      <w:tr w:rsidR="00FB18FD" w:rsidRPr="00F937A5" w:rsidTr="001A7547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PERINGATAN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B18FD" w:rsidRPr="008B688C" w:rsidRDefault="00FB18FD" w:rsidP="00622D37">
            <w:pPr>
              <w:spacing w:after="0" w:line="240" w:lineRule="auto"/>
              <w:rPr>
                <w:b/>
              </w:rPr>
            </w:pPr>
            <w:r w:rsidRPr="008B688C">
              <w:rPr>
                <w:b/>
              </w:rPr>
              <w:t>PENCATATAT DAN PENDATAAN</w:t>
            </w:r>
          </w:p>
        </w:tc>
      </w:tr>
    </w:tbl>
    <w:tbl>
      <w:tblPr>
        <w:tblStyle w:val="TableGrid"/>
        <w:tblW w:w="1470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371"/>
      </w:tblGrid>
      <w:tr w:rsidR="00760FC0" w:rsidTr="001A7547"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</w:tcPr>
          <w:p w:rsidR="00760FC0" w:rsidRPr="00DE7C40" w:rsidRDefault="00760FC0" w:rsidP="001152A3">
            <w:pPr>
              <w:pStyle w:val="Default"/>
              <w:numPr>
                <w:ilvl w:val="0"/>
                <w:numId w:val="3"/>
              </w:numPr>
              <w:ind w:left="567" w:hanging="425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Apabila</w:t>
            </w:r>
            <w:proofErr w:type="spellEnd"/>
            <w:r w:rsidR="003F6EFE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perlakukan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terhadap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pelayanan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tamu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tidak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dilakukan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dengan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maka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fungsi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pelayanan</w:t>
            </w:r>
            <w:proofErr w:type="spellEnd"/>
            <w:r w:rsidR="003211E1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tidak</w:t>
            </w:r>
            <w:proofErr w:type="spellEnd"/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tercapai</w:t>
            </w:r>
            <w:proofErr w:type="spellEnd"/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nama</w:t>
            </w:r>
            <w:proofErr w:type="spellEnd"/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instansi</w:t>
            </w:r>
            <w:proofErr w:type="spellEnd"/>
            <w:r w:rsidR="00693A98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kurang</w:t>
            </w:r>
            <w:proofErr w:type="spellEnd"/>
            <w:r w:rsidR="00693A98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E7C40">
              <w:rPr>
                <w:rFonts w:ascii="Calibri" w:hAnsi="Calibri"/>
                <w:sz w:val="20"/>
                <w:szCs w:val="20"/>
              </w:rPr>
              <w:t>baik</w:t>
            </w:r>
            <w:proofErr w:type="spellEnd"/>
          </w:p>
          <w:p w:rsidR="00760FC0" w:rsidRPr="008B688C" w:rsidRDefault="00760FC0" w:rsidP="001152A3">
            <w:pPr>
              <w:pStyle w:val="Default"/>
              <w:numPr>
                <w:ilvl w:val="0"/>
                <w:numId w:val="3"/>
              </w:numPr>
              <w:spacing w:after="60"/>
              <w:ind w:left="567" w:hanging="425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Apabila</w:t>
            </w:r>
            <w:proofErr w:type="spellEnd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pen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omor</w:t>
            </w:r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an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SK </w:t>
            </w: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6B190C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tertata dengan baik </w:t>
            </w:r>
            <w:proofErr w:type="spell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maka</w:t>
            </w:r>
            <w:proofErr w:type="spellEnd"/>
            <w:r w:rsidR="006B190C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proofErr w:type="spellStart"/>
            <w:proofErr w:type="gramStart"/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akan</w:t>
            </w:r>
            <w:proofErr w:type="spellEnd"/>
            <w:proofErr w:type="gramEnd"/>
            <w:r w:rsidR="006B190C"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val="id-ID"/>
              </w:rPr>
              <w:t>menyulitkan dalam penyusunan/pengarsipan surat</w:t>
            </w:r>
            <w:r w:rsidRPr="00BA322A">
              <w:rPr>
                <w:rFonts w:ascii="Calibri" w:hAnsi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60FC0" w:rsidRPr="00246974" w:rsidRDefault="00760FC0" w:rsidP="00760FC0">
            <w:pPr>
              <w:pStyle w:val="Default"/>
              <w:spacing w:after="60"/>
              <w:rPr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sz w:val="20"/>
                <w:szCs w:val="20"/>
                <w:lang w:val="id-ID"/>
              </w:rPr>
              <w:t>Dicatat dan di</w:t>
            </w:r>
            <w:proofErr w:type="spellStart"/>
            <w:r w:rsidRPr="008B688C">
              <w:rPr>
                <w:rFonts w:ascii="Calibri" w:hAnsi="Calibri"/>
                <w:sz w:val="20"/>
                <w:szCs w:val="20"/>
              </w:rPr>
              <w:t>simpan</w:t>
            </w:r>
            <w:proofErr w:type="spellEnd"/>
            <w:r w:rsidR="006B190C">
              <w:rPr>
                <w:rFonts w:ascii="Calibri" w:hAnsi="Calibr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dalam data base eoffice</w:t>
            </w:r>
          </w:p>
        </w:tc>
      </w:tr>
    </w:tbl>
    <w:p w:rsidR="00E42F28" w:rsidRPr="004D4840" w:rsidRDefault="00E42F28">
      <w:pPr>
        <w:rPr>
          <w:lang w:val="id-ID"/>
        </w:rPr>
        <w:sectPr w:rsidR="00E42F28" w:rsidRPr="004D4840" w:rsidSect="001A7547"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E42F28" w:rsidRPr="004D4840" w:rsidRDefault="00E42F28" w:rsidP="004D4840">
      <w:pPr>
        <w:rPr>
          <w:lang w:val="id-ID"/>
        </w:rPr>
      </w:pPr>
      <w:bookmarkStart w:id="0" w:name="_GoBack"/>
      <w:bookmarkEnd w:id="0"/>
    </w:p>
    <w:sectPr w:rsidR="00E42F28" w:rsidRPr="004D4840" w:rsidSect="00E42F2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E48"/>
    <w:multiLevelType w:val="hybridMultilevel"/>
    <w:tmpl w:val="4DE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0F6D"/>
    <w:multiLevelType w:val="hybridMultilevel"/>
    <w:tmpl w:val="C4C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50E"/>
    <w:multiLevelType w:val="multilevel"/>
    <w:tmpl w:val="123A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4A7A"/>
    <w:rsid w:val="000F5048"/>
    <w:rsid w:val="000F514F"/>
    <w:rsid w:val="00107110"/>
    <w:rsid w:val="001152A3"/>
    <w:rsid w:val="00154B38"/>
    <w:rsid w:val="00164846"/>
    <w:rsid w:val="001A7547"/>
    <w:rsid w:val="001E5B1C"/>
    <w:rsid w:val="002A543C"/>
    <w:rsid w:val="002E724D"/>
    <w:rsid w:val="003211E1"/>
    <w:rsid w:val="003409CA"/>
    <w:rsid w:val="003478DF"/>
    <w:rsid w:val="003F6EFE"/>
    <w:rsid w:val="004247A6"/>
    <w:rsid w:val="00430C4B"/>
    <w:rsid w:val="00482E96"/>
    <w:rsid w:val="004B369D"/>
    <w:rsid w:val="004D4840"/>
    <w:rsid w:val="0054748F"/>
    <w:rsid w:val="005A0EFF"/>
    <w:rsid w:val="005B78BD"/>
    <w:rsid w:val="0067097F"/>
    <w:rsid w:val="00693A98"/>
    <w:rsid w:val="006A77B7"/>
    <w:rsid w:val="006B190C"/>
    <w:rsid w:val="00760FC0"/>
    <w:rsid w:val="00764A7A"/>
    <w:rsid w:val="007747CC"/>
    <w:rsid w:val="00807B35"/>
    <w:rsid w:val="00816CE3"/>
    <w:rsid w:val="00842003"/>
    <w:rsid w:val="00852D97"/>
    <w:rsid w:val="008926DF"/>
    <w:rsid w:val="008B171F"/>
    <w:rsid w:val="009C119F"/>
    <w:rsid w:val="009D13DF"/>
    <w:rsid w:val="009E217D"/>
    <w:rsid w:val="00A34E9E"/>
    <w:rsid w:val="00A73F79"/>
    <w:rsid w:val="00A9449F"/>
    <w:rsid w:val="00AD12BB"/>
    <w:rsid w:val="00AE640B"/>
    <w:rsid w:val="00B461D7"/>
    <w:rsid w:val="00BA6E70"/>
    <w:rsid w:val="00DE73F7"/>
    <w:rsid w:val="00DE7C40"/>
    <w:rsid w:val="00E42F28"/>
    <w:rsid w:val="00E57125"/>
    <w:rsid w:val="00E931EF"/>
    <w:rsid w:val="00ED3ABC"/>
    <w:rsid w:val="00FA1FC5"/>
    <w:rsid w:val="00FB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42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C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3409C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09CA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42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E944-92DA-414D-8B79-876A596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2016-02-29T05:47:00Z</cp:lastPrinted>
  <dcterms:created xsi:type="dcterms:W3CDTF">2016-02-26T06:15:00Z</dcterms:created>
  <dcterms:modified xsi:type="dcterms:W3CDTF">2016-03-01T02:54:00Z</dcterms:modified>
</cp:coreProperties>
</file>